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02E1DA9D" w:rsidR="00A078D5" w:rsidRPr="002610B5" w:rsidRDefault="00621061" w:rsidP="00A078D5">
      <w:pPr>
        <w:spacing w:after="0" w:line="240" w:lineRule="auto"/>
        <w:jc w:val="center"/>
        <w:rPr>
          <w:rFonts w:asciiTheme="minorHAnsi" w:hAnsiTheme="minorHAnsi" w:cstheme="minorHAnsi"/>
          <w:b/>
        </w:rPr>
      </w:pPr>
      <w:r>
        <w:rPr>
          <w:rFonts w:asciiTheme="minorHAnsi" w:hAnsiTheme="minorHAnsi" w:cstheme="minorHAnsi"/>
          <w:b/>
        </w:rPr>
        <w:t>South Carolina</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74D9D3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621061" w:rsidRPr="00621061">
        <w:rPr>
          <w:rFonts w:asciiTheme="minorHAnsi" w:hAnsiTheme="minorHAnsi" w:cstheme="minorHAnsi"/>
          <w:bdr w:val="none" w:sz="0" w:space="0" w:color="auto" w:frame="1"/>
          <w:shd w:val="clear" w:color="auto" w:fill="FFFFFF"/>
        </w:rPr>
        <w:t>SC Department of Health &amp; Environmental Control (DHEC)</w:t>
      </w:r>
      <w:r w:rsidR="00621061" w:rsidRPr="00621061">
        <w:rPr>
          <w:rFonts w:asciiTheme="minorHAnsi" w:hAnsiTheme="minorHAnsi" w:cstheme="minorHAnsi"/>
          <w:bdr w:val="none" w:sz="0" w:space="0" w:color="auto" w:frame="1"/>
          <w:shd w:val="clear" w:color="auto" w:fill="FFFFFF"/>
        </w:rPr>
        <w:t xml:space="preserve">, </w:t>
      </w:r>
      <w:r w:rsidR="00621061" w:rsidRPr="00621061">
        <w:rPr>
          <w:rFonts w:asciiTheme="minorHAnsi" w:hAnsiTheme="minorHAnsi" w:cstheme="minorHAnsi"/>
        </w:rPr>
        <w:t>STD/HIV/VH Division</w:t>
      </w:r>
    </w:p>
    <w:p w14:paraId="744215C1" w14:textId="2D45D504"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621061" w:rsidRPr="00621061">
        <w:rPr>
          <w:rFonts w:asciiTheme="minorHAnsi" w:hAnsiTheme="minorHAnsi" w:cstheme="minorHAnsi"/>
          <w:bdr w:val="none" w:sz="0" w:space="0" w:color="auto" w:frame="1"/>
          <w:shd w:val="clear" w:color="auto" w:fill="FFFFFF"/>
        </w:rPr>
        <w:t xml:space="preserve">SC Department of Health &amp; Environmental Control (DHEC), </w:t>
      </w:r>
      <w:r w:rsidR="00621061" w:rsidRPr="00621061">
        <w:rPr>
          <w:rFonts w:asciiTheme="minorHAnsi" w:hAnsiTheme="minorHAnsi" w:cstheme="minorHAnsi"/>
        </w:rPr>
        <w:t>STD/HIV/VH Division</w:t>
      </w:r>
      <w:r w:rsidR="00621061" w:rsidRPr="002610B5">
        <w:rPr>
          <w:rFonts w:asciiTheme="minorHAnsi" w:eastAsia="Times New Roman" w:hAnsiTheme="minorHAnsi" w:cstheme="minorHAnsi"/>
          <w:kern w:val="36"/>
        </w:rPr>
        <w:t xml:space="preserve"> </w:t>
      </w:r>
      <w:r w:rsidR="003C741E" w:rsidRPr="002610B5">
        <w:rPr>
          <w:rFonts w:asciiTheme="minorHAnsi" w:eastAsia="Times New Roman" w:hAnsiTheme="minorHAnsi" w:cstheme="minorHAnsi"/>
          <w:kern w:val="36"/>
        </w:rPr>
        <w:t>Intern</w:t>
      </w:r>
    </w:p>
    <w:p w14:paraId="1D465CA3" w14:textId="2F85B265" w:rsidR="00546AAC" w:rsidRPr="002610B5" w:rsidRDefault="00A078D5" w:rsidP="00B162C7">
      <w:pPr>
        <w:tabs>
          <w:tab w:val="left" w:pos="1800"/>
        </w:tabs>
        <w:spacing w:after="0" w:line="240" w:lineRule="auto"/>
        <w:ind w:left="-360" w:right="-54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621061" w:rsidRPr="00621061">
        <w:rPr>
          <w:rFonts w:cs="Calibri"/>
        </w:rPr>
        <w:t>2100 Bull Street, Columbia, SC 29201</w:t>
      </w:r>
    </w:p>
    <w:p w14:paraId="704678BC" w14:textId="5714E6EB" w:rsidR="0092632B" w:rsidRDefault="00A078D5" w:rsidP="00B162C7">
      <w:pPr>
        <w:tabs>
          <w:tab w:val="left" w:pos="1800"/>
        </w:tabs>
        <w:spacing w:after="0" w:line="240" w:lineRule="auto"/>
        <w:ind w:left="-360" w:right="-540"/>
        <w:rPr>
          <w:rFonts w:asciiTheme="minorHAnsi" w:hAnsiTheme="minorHAnsi" w:cs="Calibri"/>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92632B">
        <w:rPr>
          <w:rFonts w:asciiTheme="minorHAnsi" w:eastAsia="Times New Roman" w:hAnsiTheme="minorHAnsi" w:cstheme="minorHAnsi"/>
        </w:rPr>
        <w:t>:</w:t>
      </w:r>
      <w:r w:rsidR="00857DB6" w:rsidRPr="0092632B">
        <w:rPr>
          <w:rFonts w:asciiTheme="minorHAnsi" w:eastAsia="Times New Roman" w:hAnsiTheme="minorHAnsi" w:cstheme="minorHAnsi"/>
        </w:rPr>
        <w:t xml:space="preserve"> </w:t>
      </w:r>
      <w:hyperlink r:id="rId6" w:history="1">
        <w:r w:rsidR="00621061" w:rsidRPr="0096415E">
          <w:rPr>
            <w:rStyle w:val="Hyperlink"/>
            <w:rFonts w:cs="Calibri"/>
          </w:rPr>
          <w:t>https://scdhec.gov/infectious-diseases/hiv-std-viral-hepatitis</w:t>
        </w:r>
      </w:hyperlink>
      <w:r w:rsidR="00621061">
        <w:rPr>
          <w:rFonts w:cs="Calibri"/>
        </w:rPr>
        <w:t xml:space="preserve"> </w:t>
      </w:r>
      <w:hyperlink r:id="rId7" w:history="1"/>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180445D6" w14:textId="77777777" w:rsidR="00AA79E5" w:rsidRDefault="00A078D5" w:rsidP="00AA79E5">
      <w:pPr>
        <w:shd w:val="clear" w:color="auto" w:fill="FFFFFF"/>
        <w:spacing w:after="0" w:line="240" w:lineRule="auto"/>
        <w:ind w:left="-360"/>
        <w:rPr>
          <w:rFonts w:eastAsia="Times New Roman" w:cs="Calibri"/>
          <w:bCs/>
          <w:caps/>
        </w:rPr>
      </w:pPr>
      <w:r w:rsidRPr="00AA79E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AA79E5" w:rsidRPr="002610B5">
        <w:rPr>
          <w:rFonts w:asciiTheme="minorHAnsi" w:eastAsia="Times New Roman" w:hAnsiTheme="minorHAnsi" w:cstheme="minorHAnsi"/>
          <w:b/>
          <w:bCs/>
          <w:caps/>
        </w:rPr>
        <w:t>TBD</w:t>
      </w:r>
      <w:r w:rsidR="00AA79E5" w:rsidRPr="002610B5">
        <w:rPr>
          <w:rFonts w:asciiTheme="minorHAnsi" w:eastAsia="Times New Roman" w:hAnsiTheme="minorHAnsi" w:cstheme="minorHAnsi"/>
          <w:bCs/>
        </w:rPr>
        <w:t xml:space="preserve"> Supervisor will work with the student to determine a start date.</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8"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92632B">
      <w:pPr>
        <w:spacing w:after="120" w:line="240" w:lineRule="auto"/>
        <w:ind w:left="-360" w:right="-547"/>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51E71BFE" w14:textId="5937168E" w:rsidR="00FC5ACD" w:rsidRPr="00AA79E5" w:rsidRDefault="004B2C7E" w:rsidP="00B24369">
      <w:pPr>
        <w:tabs>
          <w:tab w:val="left" w:pos="1800"/>
        </w:tabs>
        <w:ind w:left="-360"/>
        <w:rPr>
          <w:rFonts w:asciiTheme="minorHAnsi" w:hAnsiTheme="minorHAnsi" w:cstheme="minorHAnsi"/>
          <w:b/>
          <w:bCs/>
          <w:color w:val="000000"/>
        </w:rPr>
      </w:pPr>
      <w:r w:rsidRPr="004B2C7E">
        <w:rPr>
          <w:rFonts w:asciiTheme="minorHAnsi" w:hAnsiTheme="minorHAnsi" w:cstheme="minorHAnsi"/>
          <w:shd w:val="clear" w:color="auto" w:fill="F9F9F9"/>
        </w:rPr>
        <w:t>DHEC is charged with promoting and protecting the health of the public and the environment in South Carolina. With more than 3,800 employees working in 100 locations across the state, our vision is healthy people living in healthy communities. This vision is supported by the agency’s four divisions</w:t>
      </w:r>
      <w:r>
        <w:rPr>
          <w:rFonts w:asciiTheme="minorHAnsi" w:hAnsiTheme="minorHAnsi" w:cstheme="minorHAnsi"/>
          <w:shd w:val="clear" w:color="auto" w:fill="F9F9F9"/>
        </w:rPr>
        <w:t>.</w:t>
      </w:r>
      <w:r w:rsidR="00AA79E5">
        <w:rPr>
          <w:rFonts w:asciiTheme="minorHAnsi" w:hAnsiTheme="minorHAnsi" w:cstheme="minorHAnsi"/>
          <w:shd w:val="clear" w:color="auto" w:fill="F9F9F9"/>
        </w:rPr>
        <w:t xml:space="preserve"> The mission of DHEC is </w:t>
      </w:r>
      <w:r w:rsidR="00AA79E5" w:rsidRPr="00AA79E5">
        <w:rPr>
          <w:rFonts w:asciiTheme="minorHAnsi" w:hAnsiTheme="minorHAnsi" w:cstheme="minorHAnsi"/>
          <w:shd w:val="clear" w:color="auto" w:fill="F9F9F9"/>
        </w:rPr>
        <w:t>t</w:t>
      </w:r>
      <w:r w:rsidR="00AA79E5" w:rsidRPr="00AA79E5">
        <w:rPr>
          <w:rFonts w:asciiTheme="minorHAnsi" w:hAnsiTheme="minorHAnsi" w:cstheme="minorHAnsi"/>
          <w:shd w:val="clear" w:color="auto" w:fill="F9F9F9"/>
        </w:rPr>
        <w:t>o improve the quality of life for all South Carolinians by protecting and promoting the health of the public and the environment</w:t>
      </w:r>
      <w:r w:rsidR="00AA79E5">
        <w:rPr>
          <w:rFonts w:asciiTheme="minorHAnsi" w:hAnsiTheme="minorHAnsi" w:cstheme="minorHAnsi"/>
          <w:b/>
          <w:bCs/>
          <w:color w:val="000000"/>
        </w:rPr>
        <w:t>.</w:t>
      </w:r>
      <w:r w:rsidR="0092632B" w:rsidRPr="00AA79E5">
        <w:rPr>
          <w:rFonts w:asciiTheme="minorHAnsi" w:hAnsiTheme="minorHAnsi" w:cstheme="minorHAnsi"/>
          <w:b/>
          <w:bCs/>
          <w:color w:val="000000"/>
        </w:rPr>
        <w:t xml:space="preserve">  </w:t>
      </w:r>
    </w:p>
    <w:p w14:paraId="6ECEEB2C" w14:textId="4A8ECB20" w:rsidR="00B64F6F" w:rsidRDefault="00A078D5" w:rsidP="00F512BA">
      <w:pPr>
        <w:tabs>
          <w:tab w:val="left" w:pos="1800"/>
        </w:tabs>
        <w:spacing w:after="0" w:line="240" w:lineRule="auto"/>
        <w:ind w:left="-360" w:right="-90"/>
        <w:rPr>
          <w:rFonts w:cs="Calibri"/>
        </w:rPr>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92632B" w:rsidRPr="00A5153D">
        <w:t xml:space="preserve">The purpose of this </w:t>
      </w:r>
      <w:r w:rsidR="0092632B" w:rsidRPr="002610B5">
        <w:rPr>
          <w:rFonts w:asciiTheme="minorHAnsi" w:hAnsiTheme="minorHAnsi" w:cstheme="minorHAnsi"/>
        </w:rPr>
        <w:t xml:space="preserve">summer intern </w:t>
      </w:r>
      <w:r w:rsidR="0092632B">
        <w:rPr>
          <w:rFonts w:asciiTheme="minorHAnsi" w:hAnsiTheme="minorHAnsi" w:cstheme="minorHAnsi"/>
        </w:rPr>
        <w:t>position</w:t>
      </w:r>
      <w:r w:rsidR="0092632B" w:rsidRPr="00A5153D">
        <w:t xml:space="preserve"> </w:t>
      </w:r>
      <w:r w:rsidR="0092632B">
        <w:t xml:space="preserve">is to </w:t>
      </w:r>
      <w:r w:rsidR="00621061">
        <w:t xml:space="preserve">assist the </w:t>
      </w:r>
      <w:r w:rsidR="00621061" w:rsidRPr="00621061">
        <w:rPr>
          <w:rFonts w:asciiTheme="minorHAnsi" w:hAnsiTheme="minorHAnsi" w:cstheme="minorHAnsi"/>
          <w:bdr w:val="none" w:sz="0" w:space="0" w:color="auto" w:frame="1"/>
          <w:shd w:val="clear" w:color="auto" w:fill="FFFFFF"/>
        </w:rPr>
        <w:t xml:space="preserve">SC Department of Health &amp; Environmental Control (DHEC), </w:t>
      </w:r>
      <w:r w:rsidR="00621061" w:rsidRPr="00621061">
        <w:rPr>
          <w:rFonts w:asciiTheme="minorHAnsi" w:hAnsiTheme="minorHAnsi" w:cstheme="minorHAnsi"/>
        </w:rPr>
        <w:t>STD/HIV/VH Division</w:t>
      </w:r>
      <w:r w:rsidR="00621061">
        <w:rPr>
          <w:rFonts w:cs="Calibri"/>
        </w:rPr>
        <w:t xml:space="preserve"> with </w:t>
      </w:r>
      <w:r w:rsidR="00621061">
        <w:rPr>
          <w:rFonts w:cs="Calibri"/>
        </w:rPr>
        <w:t>a broad spectrum of areas, including planning, implementation and evaluation</w:t>
      </w:r>
      <w:r w:rsidR="00621061">
        <w:rPr>
          <w:rFonts w:cs="Calibri"/>
        </w:rPr>
        <w:t>; I</w:t>
      </w:r>
      <w:r w:rsidR="00621061">
        <w:rPr>
          <w:rFonts w:cs="Calibri"/>
        </w:rPr>
        <w:t xml:space="preserve">ncluding but not limited to ending the HIV, STI, and Hepatis C epidemics; </w:t>
      </w:r>
      <w:r w:rsidR="00621061">
        <w:rPr>
          <w:rFonts w:cs="Calibri"/>
        </w:rPr>
        <w:t>P</w:t>
      </w:r>
      <w:r w:rsidR="00621061">
        <w:rPr>
          <w:rFonts w:cs="Calibri"/>
        </w:rPr>
        <w:t>ublic health programs quality assurance; HIV prevention and care/treatment continuums goals/objective setting and monitoring, etc.</w:t>
      </w:r>
      <w:r w:rsidR="00621061">
        <w:rPr>
          <w:rFonts w:cs="Calibri"/>
        </w:rPr>
        <w:t>; O</w:t>
      </w:r>
      <w:r w:rsidR="00621061">
        <w:rPr>
          <w:rFonts w:cs="Calibri"/>
        </w:rPr>
        <w:t>ther needs as negotiated with the student and their academic advisor(s).</w:t>
      </w:r>
      <w:r w:rsidR="00B64F6F">
        <w:rPr>
          <w:rFonts w:cs="Calibri"/>
        </w:rPr>
        <w:t xml:space="preserve"> </w:t>
      </w:r>
    </w:p>
    <w:p w14:paraId="736FB5E8" w14:textId="77777777" w:rsidR="00B64F6F" w:rsidRDefault="00B64F6F" w:rsidP="00B64F6F">
      <w:pPr>
        <w:tabs>
          <w:tab w:val="left" w:pos="1800"/>
        </w:tabs>
        <w:spacing w:after="0" w:line="240" w:lineRule="auto"/>
        <w:ind w:left="-360"/>
        <w:rPr>
          <w:rFonts w:cs="Calibri"/>
        </w:rPr>
      </w:pPr>
    </w:p>
    <w:p w14:paraId="54FAE65A" w14:textId="14EBBD21" w:rsidR="00A078D5" w:rsidRPr="002610B5" w:rsidRDefault="00A078D5" w:rsidP="009E7153">
      <w:pPr>
        <w:shd w:val="clear" w:color="auto" w:fill="FFFFFF"/>
        <w:spacing w:after="120" w:line="240" w:lineRule="auto"/>
        <w:ind w:left="-360" w:right="-547"/>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4452A89F" w14:textId="0B929519" w:rsidR="00621061" w:rsidRPr="00621061" w:rsidRDefault="00621061" w:rsidP="00621061">
      <w:pPr>
        <w:pStyle w:val="ListParagraph"/>
        <w:numPr>
          <w:ilvl w:val="0"/>
          <w:numId w:val="23"/>
        </w:numPr>
        <w:tabs>
          <w:tab w:val="left" w:pos="1800"/>
        </w:tabs>
        <w:spacing w:after="0" w:line="240" w:lineRule="auto"/>
        <w:ind w:left="446" w:hanging="446"/>
        <w:contextualSpacing w:val="0"/>
        <w:rPr>
          <w:rFonts w:cs="Calibri"/>
        </w:rPr>
      </w:pPr>
      <w:r>
        <w:rPr>
          <w:rFonts w:cs="Calibri"/>
        </w:rPr>
        <w:t>P</w:t>
      </w:r>
      <w:r w:rsidRPr="00621061">
        <w:rPr>
          <w:rFonts w:cs="Calibri"/>
        </w:rPr>
        <w:t>rogram planning (development, reviews, updates)</w:t>
      </w:r>
    </w:p>
    <w:p w14:paraId="321BA784" w14:textId="1BC90A9E" w:rsidR="00621061" w:rsidRPr="00621061" w:rsidRDefault="00621061" w:rsidP="00621061">
      <w:pPr>
        <w:pStyle w:val="ListParagraph"/>
        <w:numPr>
          <w:ilvl w:val="0"/>
          <w:numId w:val="23"/>
        </w:numPr>
        <w:tabs>
          <w:tab w:val="left" w:pos="1800"/>
        </w:tabs>
        <w:spacing w:after="0" w:line="240" w:lineRule="auto"/>
        <w:ind w:left="446" w:hanging="446"/>
        <w:contextualSpacing w:val="0"/>
        <w:rPr>
          <w:rFonts w:cs="Calibri"/>
        </w:rPr>
      </w:pPr>
      <w:r>
        <w:rPr>
          <w:rFonts w:cs="Calibri"/>
        </w:rPr>
        <w:t>R</w:t>
      </w:r>
      <w:r w:rsidRPr="00621061">
        <w:rPr>
          <w:rFonts w:cs="Calibri"/>
        </w:rPr>
        <w:t>espective program impl</w:t>
      </w:r>
      <w:r>
        <w:rPr>
          <w:rFonts w:cs="Calibri"/>
        </w:rPr>
        <w:t>eme</w:t>
      </w:r>
      <w:r w:rsidRPr="00621061">
        <w:rPr>
          <w:rFonts w:cs="Calibri"/>
        </w:rPr>
        <w:t xml:space="preserve">ntation monitoring and evaluation </w:t>
      </w:r>
    </w:p>
    <w:p w14:paraId="69F63EEE" w14:textId="6A9D5D75" w:rsidR="00621061" w:rsidRPr="00621061" w:rsidRDefault="00621061" w:rsidP="00621061">
      <w:pPr>
        <w:pStyle w:val="ListParagraph"/>
        <w:numPr>
          <w:ilvl w:val="0"/>
          <w:numId w:val="23"/>
        </w:numPr>
        <w:tabs>
          <w:tab w:val="left" w:pos="1800"/>
        </w:tabs>
        <w:spacing w:after="0" w:line="240" w:lineRule="auto"/>
        <w:ind w:left="446" w:hanging="446"/>
        <w:contextualSpacing w:val="0"/>
        <w:rPr>
          <w:rFonts w:cs="Calibri"/>
        </w:rPr>
      </w:pPr>
      <w:r>
        <w:rPr>
          <w:rFonts w:cs="Calibri"/>
        </w:rPr>
        <w:t>R</w:t>
      </w:r>
      <w:r w:rsidRPr="00621061">
        <w:rPr>
          <w:rFonts w:cs="Calibri"/>
        </w:rPr>
        <w:t xml:space="preserve">elevant literature searches and summarization </w:t>
      </w:r>
    </w:p>
    <w:p w14:paraId="26D91158" w14:textId="264673C4" w:rsidR="00621061" w:rsidRPr="00621061" w:rsidRDefault="00621061" w:rsidP="00621061">
      <w:pPr>
        <w:pStyle w:val="ListParagraph"/>
        <w:numPr>
          <w:ilvl w:val="0"/>
          <w:numId w:val="23"/>
        </w:numPr>
        <w:tabs>
          <w:tab w:val="left" w:pos="1800"/>
        </w:tabs>
        <w:spacing w:after="0" w:line="240" w:lineRule="auto"/>
        <w:ind w:left="446" w:hanging="446"/>
        <w:contextualSpacing w:val="0"/>
        <w:rPr>
          <w:rFonts w:cs="Calibri"/>
        </w:rPr>
      </w:pPr>
      <w:r>
        <w:rPr>
          <w:rFonts w:cs="Calibri"/>
        </w:rPr>
        <w:t>O</w:t>
      </w:r>
      <w:r w:rsidRPr="00621061">
        <w:rPr>
          <w:rFonts w:cs="Calibri"/>
        </w:rPr>
        <w:t>ther program-related activities as negotiated and needed</w:t>
      </w:r>
    </w:p>
    <w:p w14:paraId="28BC41C9" w14:textId="77777777" w:rsidR="00621061" w:rsidRDefault="00621061" w:rsidP="00B162C7">
      <w:pPr>
        <w:spacing w:after="0" w:line="240" w:lineRule="auto"/>
        <w:ind w:left="-360" w:right="-540"/>
        <w:rPr>
          <w:rFonts w:asciiTheme="minorHAnsi" w:hAnsiTheme="minorHAnsi" w:cstheme="minorHAnsi"/>
          <w:b/>
          <w:bCs/>
        </w:rPr>
      </w:pPr>
    </w:p>
    <w:p w14:paraId="3AD1878D" w14:textId="3DFCDD22"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4D343FC1" w14:textId="012ED88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Analytic/Assessment</w:t>
      </w:r>
    </w:p>
    <w:p w14:paraId="3EE26326" w14:textId="0E027516" w:rsidR="00621061" w:rsidRPr="00621061" w:rsidRDefault="00621061"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w:t>
      </w:r>
      <w:r>
        <w:rPr>
          <w:rFonts w:cs="Calibri"/>
        </w:rPr>
        <w:t>hange Management</w:t>
      </w:r>
    </w:p>
    <w:p w14:paraId="7AD8C18F" w14:textId="0A88D865" w:rsidR="00EE5F32"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Communication</w:t>
      </w:r>
    </w:p>
    <w:p w14:paraId="6506B423" w14:textId="28502351"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lastRenderedPageBreak/>
        <w:t xml:space="preserve">Community Dimensions </w:t>
      </w:r>
      <w:r>
        <w:rPr>
          <w:rFonts w:cs="Calibri"/>
        </w:rPr>
        <w:t>of Practice</w:t>
      </w:r>
    </w:p>
    <w:p w14:paraId="25679B04" w14:textId="73E0A3DC" w:rsidR="0092632B" w:rsidRPr="00621061"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Cultural Competency</w:t>
      </w:r>
    </w:p>
    <w:p w14:paraId="0BFB2516" w14:textId="3CCA81B4" w:rsidR="00621061" w:rsidRPr="0092632B" w:rsidRDefault="00621061"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4F35EB">
        <w:rPr>
          <w:rFonts w:cs="Calibri"/>
        </w:rPr>
        <w:t>Leadership and Systems Thinking</w:t>
      </w:r>
    </w:p>
    <w:p w14:paraId="292F1866" w14:textId="2347FED3"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Policy D</w:t>
      </w:r>
      <w:r w:rsidRPr="00F44D6C">
        <w:rPr>
          <w:rFonts w:cs="Calibri"/>
        </w:rPr>
        <w:t>evelopment/</w:t>
      </w:r>
      <w:r>
        <w:rPr>
          <w:rFonts w:cs="Calibri"/>
        </w:rPr>
        <w:t>Engagement</w:t>
      </w:r>
    </w:p>
    <w:p w14:paraId="1C07A219" w14:textId="77773C94" w:rsidR="0092632B" w:rsidRPr="00621061"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Problem Solving</w:t>
      </w:r>
    </w:p>
    <w:p w14:paraId="25379E0C" w14:textId="219C3575" w:rsidR="0092632B" w:rsidRPr="00621061" w:rsidRDefault="004E7FED" w:rsidP="00621061">
      <w:pPr>
        <w:pStyle w:val="ListParagraph"/>
        <w:numPr>
          <w:ilvl w:val="0"/>
          <w:numId w:val="9"/>
        </w:numPr>
        <w:shd w:val="clear" w:color="auto" w:fill="FFFFFF"/>
        <w:spacing w:after="0" w:line="240" w:lineRule="auto"/>
        <w:ind w:left="360" w:right="-547"/>
        <w:contextualSpacing w:val="0"/>
        <w:rPr>
          <w:rFonts w:asciiTheme="minorHAnsi" w:hAnsiTheme="minorHAnsi" w:cstheme="minorHAnsi"/>
        </w:rPr>
      </w:pPr>
      <w:r w:rsidRPr="00F44D6C">
        <w:rPr>
          <w:rFonts w:cs="Calibri"/>
        </w:rPr>
        <w:t>Program Planning</w:t>
      </w:r>
    </w:p>
    <w:p w14:paraId="00BB859A" w14:textId="35010BFC" w:rsidR="00621061" w:rsidRPr="00EE5F32" w:rsidRDefault="00621061" w:rsidP="004E7FED">
      <w:pPr>
        <w:pStyle w:val="ListParagraph"/>
        <w:numPr>
          <w:ilvl w:val="0"/>
          <w:numId w:val="9"/>
        </w:numPr>
        <w:shd w:val="clear" w:color="auto" w:fill="FFFFFF"/>
        <w:spacing w:after="120" w:line="240" w:lineRule="auto"/>
        <w:ind w:left="360" w:right="-547"/>
        <w:contextualSpacing w:val="0"/>
        <w:rPr>
          <w:rFonts w:asciiTheme="minorHAnsi" w:hAnsiTheme="minorHAnsi" w:cstheme="minorHAnsi"/>
        </w:rPr>
      </w:pPr>
      <w:r w:rsidRPr="00F44D6C">
        <w:rPr>
          <w:rFonts w:cs="Calibri"/>
        </w:rPr>
        <w:t>Public Health Science</w:t>
      </w:r>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0EBEE255" w:rsidR="00A078D5" w:rsidRPr="002610B5" w:rsidRDefault="00621061" w:rsidP="00B162C7">
      <w:pPr>
        <w:shd w:val="clear" w:color="auto" w:fill="FFFFFF"/>
        <w:spacing w:after="0" w:line="240" w:lineRule="auto"/>
        <w:ind w:left="-360" w:right="-540"/>
        <w:rPr>
          <w:rFonts w:asciiTheme="minorHAnsi" w:eastAsia="Times New Roman" w:hAnsiTheme="minorHAnsi" w:cstheme="minorHAnsi"/>
        </w:rPr>
      </w:pPr>
      <w:bookmarkStart w:id="1" w:name="_Hlk62036254"/>
      <w:r>
        <w:rPr>
          <w:rFonts w:asciiTheme="minorHAnsi" w:hAnsiTheme="minorHAnsi" w:cstheme="minorHAnsi"/>
        </w:rPr>
        <w:t xml:space="preserve">Consideration will only be </w:t>
      </w:r>
      <w:r w:rsidR="00C10864">
        <w:rPr>
          <w:rFonts w:asciiTheme="minorHAnsi" w:hAnsiTheme="minorHAnsi" w:cstheme="minorHAnsi"/>
        </w:rPr>
        <w:t xml:space="preserve">given to </w:t>
      </w:r>
      <w:r w:rsidR="00C10864" w:rsidRPr="00666DCB">
        <w:t>masters or doctoral level public health graduate students</w:t>
      </w:r>
      <w:r w:rsidR="00EC00F7" w:rsidRPr="002610B5">
        <w:rPr>
          <w:rFonts w:asciiTheme="minorHAnsi" w:hAnsiTheme="minorHAnsi" w:cstheme="minorHAnsi"/>
        </w:rPr>
        <w:t>.</w:t>
      </w:r>
      <w:bookmarkEnd w:id="1"/>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031AD91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10"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3EEF9E76" w:rsidR="00A078D5" w:rsidRPr="00621061" w:rsidRDefault="00A078D5" w:rsidP="00B162C7">
      <w:pPr>
        <w:shd w:val="clear" w:color="auto" w:fill="FFFFFF"/>
        <w:spacing w:after="0" w:line="240" w:lineRule="auto"/>
        <w:ind w:left="-360" w:right="-540"/>
        <w:rPr>
          <w:rFonts w:asciiTheme="minorHAnsi" w:hAnsiTheme="minorHAnsi" w:cstheme="minorHAnsi"/>
          <w:b/>
          <w:bCs/>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(resume</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1"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621061">
        <w:rPr>
          <w:rFonts w:asciiTheme="minorHAnsi" w:hAnsiTheme="minorHAnsi" w:cstheme="minorHAnsi"/>
          <w:b/>
        </w:rPr>
        <w:t>SC</w:t>
      </w:r>
      <w:r w:rsidR="00221026" w:rsidRPr="002610B5">
        <w:rPr>
          <w:rFonts w:asciiTheme="minorHAnsi" w:hAnsiTheme="minorHAnsi" w:cstheme="minorHAnsi"/>
          <w:b/>
        </w:rPr>
        <w:t xml:space="preserve"> –</w:t>
      </w:r>
      <w:r w:rsidR="00621061" w:rsidRPr="00621061">
        <w:rPr>
          <w:rFonts w:asciiTheme="minorHAnsi" w:hAnsiTheme="minorHAnsi" w:cstheme="minorHAnsi"/>
          <w:bdr w:val="none" w:sz="0" w:space="0" w:color="auto" w:frame="1"/>
          <w:shd w:val="clear" w:color="auto" w:fill="FFFFFF"/>
        </w:rPr>
        <w:t xml:space="preserve"> </w:t>
      </w:r>
      <w:r w:rsidR="00621061" w:rsidRPr="00621061">
        <w:rPr>
          <w:rFonts w:asciiTheme="minorHAnsi" w:hAnsiTheme="minorHAnsi" w:cstheme="minorHAnsi"/>
          <w:b/>
          <w:bCs/>
          <w:bdr w:val="none" w:sz="0" w:space="0" w:color="auto" w:frame="1"/>
          <w:shd w:val="clear" w:color="auto" w:fill="FFFFFF"/>
        </w:rPr>
        <w:t xml:space="preserve">SC Department of Health &amp; Environmental Control (DHEC), </w:t>
      </w:r>
      <w:r w:rsidR="00621061" w:rsidRPr="00621061">
        <w:rPr>
          <w:rFonts w:asciiTheme="minorHAnsi" w:hAnsiTheme="minorHAnsi" w:cstheme="minorHAnsi"/>
          <w:b/>
          <w:bCs/>
        </w:rPr>
        <w:t>STD/HIV/VH Division</w:t>
      </w:r>
      <w:r w:rsidR="0027747A" w:rsidRPr="00621061">
        <w:rPr>
          <w:rFonts w:asciiTheme="minorHAnsi" w:hAnsiTheme="minorHAnsi" w:cstheme="minorHAnsi"/>
          <w:b/>
          <w:bCs/>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4E76"/>
    <w:multiLevelType w:val="hybridMultilevel"/>
    <w:tmpl w:val="547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D48DD"/>
    <w:multiLevelType w:val="hybridMultilevel"/>
    <w:tmpl w:val="F30E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102B4"/>
    <w:multiLevelType w:val="hybridMultilevel"/>
    <w:tmpl w:val="A770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B161C"/>
    <w:multiLevelType w:val="hybridMultilevel"/>
    <w:tmpl w:val="5F2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5403B"/>
    <w:multiLevelType w:val="hybridMultilevel"/>
    <w:tmpl w:val="CC9C3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0"/>
  </w:num>
  <w:num w:numId="5">
    <w:abstractNumId w:val="1"/>
  </w:num>
  <w:num w:numId="6">
    <w:abstractNumId w:val="12"/>
  </w:num>
  <w:num w:numId="7">
    <w:abstractNumId w:val="11"/>
  </w:num>
  <w:num w:numId="8">
    <w:abstractNumId w:val="10"/>
  </w:num>
  <w:num w:numId="9">
    <w:abstractNumId w:val="4"/>
  </w:num>
  <w:num w:numId="10">
    <w:abstractNumId w:val="17"/>
  </w:num>
  <w:num w:numId="11">
    <w:abstractNumId w:val="5"/>
  </w:num>
  <w:num w:numId="12">
    <w:abstractNumId w:val="18"/>
  </w:num>
  <w:num w:numId="13">
    <w:abstractNumId w:val="7"/>
  </w:num>
  <w:num w:numId="14">
    <w:abstractNumId w:val="2"/>
  </w:num>
  <w:num w:numId="15">
    <w:abstractNumId w:val="19"/>
  </w:num>
  <w:num w:numId="16">
    <w:abstractNumId w:val="6"/>
  </w:num>
  <w:num w:numId="17">
    <w:abstractNumId w:val="15"/>
  </w:num>
  <w:num w:numId="18">
    <w:abstractNumId w:val="21"/>
  </w:num>
  <w:num w:numId="19">
    <w:abstractNumId w:val="22"/>
  </w:num>
  <w:num w:numId="20">
    <w:abstractNumId w:val="0"/>
  </w:num>
  <w:num w:numId="21">
    <w:abstractNumId w:val="16"/>
  </w:num>
  <w:num w:numId="22">
    <w:abstractNumId w:val="13"/>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221026"/>
    <w:rsid w:val="002610B5"/>
    <w:rsid w:val="0027747A"/>
    <w:rsid w:val="00315B18"/>
    <w:rsid w:val="003700D0"/>
    <w:rsid w:val="003C741E"/>
    <w:rsid w:val="0040337A"/>
    <w:rsid w:val="00411A92"/>
    <w:rsid w:val="004237C6"/>
    <w:rsid w:val="004B2C7E"/>
    <w:rsid w:val="004E6918"/>
    <w:rsid w:val="004E7FED"/>
    <w:rsid w:val="004F0A81"/>
    <w:rsid w:val="00507C62"/>
    <w:rsid w:val="00542852"/>
    <w:rsid w:val="00546AAC"/>
    <w:rsid w:val="005760B9"/>
    <w:rsid w:val="005A2275"/>
    <w:rsid w:val="00621061"/>
    <w:rsid w:val="00652148"/>
    <w:rsid w:val="006860C9"/>
    <w:rsid w:val="006A00B7"/>
    <w:rsid w:val="006A1AE1"/>
    <w:rsid w:val="00790A58"/>
    <w:rsid w:val="007F2E78"/>
    <w:rsid w:val="00836A9C"/>
    <w:rsid w:val="00857DB6"/>
    <w:rsid w:val="00900955"/>
    <w:rsid w:val="0092632B"/>
    <w:rsid w:val="00967B41"/>
    <w:rsid w:val="00985369"/>
    <w:rsid w:val="009E7153"/>
    <w:rsid w:val="00A078D5"/>
    <w:rsid w:val="00AA79E5"/>
    <w:rsid w:val="00B07919"/>
    <w:rsid w:val="00B162C7"/>
    <w:rsid w:val="00B24369"/>
    <w:rsid w:val="00B372C4"/>
    <w:rsid w:val="00B64F6F"/>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463D"/>
    <w:rsid w:val="00F2539D"/>
    <w:rsid w:val="00F35FC4"/>
    <w:rsid w:val="00F512BA"/>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moon@emor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G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dhec.gov/infectious-diseases/hiv-std-viral-hepatitis" TargetMode="External"/><Relationship Id="rId11" Type="http://schemas.openxmlformats.org/officeDocument/2006/relationships/hyperlink" Target="mailto:tmmoon@emory.edu" TargetMode="External"/><Relationship Id="rId5" Type="http://schemas.openxmlformats.org/officeDocument/2006/relationships/image" Target="media/image1.png"/><Relationship Id="rId10" Type="http://schemas.openxmlformats.org/officeDocument/2006/relationships/hyperlink" Target="http://www.sph.emory.edu/r4phtc"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3</cp:revision>
  <dcterms:created xsi:type="dcterms:W3CDTF">2021-03-02T20:32:00Z</dcterms:created>
  <dcterms:modified xsi:type="dcterms:W3CDTF">2021-03-02T20:49:00Z</dcterms:modified>
</cp:coreProperties>
</file>